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561B2E" w:rsidP="00017D4C">
      <w:pPr>
        <w:jc w:val="center"/>
      </w:pPr>
      <w:r>
        <w:rPr>
          <w:noProof/>
        </w:rPr>
        <w:drawing>
          <wp:anchor distT="0" distB="0" distL="114300" distR="114300" simplePos="0" relativeHeight="251659264" behindDoc="0" locked="0" layoutInCell="1" allowOverlap="1">
            <wp:simplePos x="0" y="0"/>
            <wp:positionH relativeFrom="margin">
              <wp:posOffset>1685925</wp:posOffset>
            </wp:positionH>
            <wp:positionV relativeFrom="margin">
              <wp:posOffset>-111760</wp:posOffset>
            </wp:positionV>
            <wp:extent cx="2825115" cy="919480"/>
            <wp:effectExtent l="0" t="0" r="0" b="0"/>
            <wp:wrapSquare wrapText="bothSides"/>
            <wp:docPr id="1" name="Picture 1" descr="RU_SIG_RBHS_RED_100K_L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RBHS_RED_100K_LH.tif"/>
                    <pic:cNvPicPr>
                      <a:picLocks noChangeAspect="1" noChangeArrowheads="1"/>
                    </pic:cNvPicPr>
                  </pic:nvPicPr>
                  <pic:blipFill>
                    <a:blip xmlns:r="http://schemas.openxmlformats.org/officeDocument/2006/relationships" r:embed="rId5">
                      <a:extLst>
                        <a:ext uri="{28A0092B-C50C-407E-A947-70E740481C1C}">
                          <a14:useLocalDpi xmlns:a14="http://schemas.microsoft.com/office/drawing/2010/main" val="0"/>
                        </a:ext>
                      </a:extLst>
                    </a:blip>
                    <a:srcRect/>
                    <a:stretch>
                      <a:fillRect/>
                    </a:stretch>
                  </pic:blipFill>
                  <pic:spPr bwMode="auto">
                    <a:xfrm>
                      <a:off x="0" y="0"/>
                      <a:ext cx="2825115" cy="919480"/>
                    </a:xfrm>
                    <a:prstGeom prst="rect">
                      <a:avLst/>
                    </a:prstGeom>
                    <a:noFill/>
                    <a:ln>
                      <a:noFill/>
                    </a:ln>
                  </pic:spPr>
                </pic:pic>
              </a:graphicData>
            </a:graphic>
          </wp:anchor>
        </w:drawing>
      </w:r>
    </w:p>
    <w:p w:rsidR="00017D4C" w:rsidP="00017D4C">
      <w:pPr>
        <w:jc w:val="center"/>
      </w:pPr>
    </w:p>
    <w:p w:rsidR="00017D4C" w:rsidP="00017D4C">
      <w:pPr>
        <w:jc w:val="center"/>
      </w:pPr>
    </w:p>
    <w:p w:rsidR="00017D4C" w:rsidP="00017D4C">
      <w:pPr>
        <w:jc w:val="center"/>
      </w:pPr>
    </w:p>
    <w:p w:rsidR="00017D4C" w:rsidP="00017D4C">
      <w:pPr>
        <w:jc w:val="center"/>
      </w:pPr>
    </w:p>
    <w:p w:rsidR="00017D4C" w:rsidP="00017D4C">
      <w:pPr>
        <w:jc w:val="center"/>
      </w:pPr>
    </w:p>
    <w:p w:rsidR="00561B2E" w:rsidRPr="003A3CD9" w:rsidP="0022340C">
      <w:pPr>
        <w:jc w:val="center"/>
        <w:rPr>
          <w:rFonts w:ascii="Calibri" w:hAnsi="Calibri"/>
          <w:b/>
          <w:i/>
        </w:rPr>
      </w:pPr>
      <w:r>
        <w:rPr>
          <w:rFonts w:ascii="Calibri" w:hAnsi="Calibri"/>
          <w:b/>
          <w:i/>
          <w:noProof/>
        </w:rPr>
        <w:pict>
          <v:shapetype id="_x0000_t202" coordsize="21600,21600" o:spt="202" path="m,l,21600r21600,l21600,xe">
            <v:stroke joinstyle="miter"/>
            <v:path gradientshapeok="t" o:connecttype="rect"/>
          </v:shapetype>
          <v:shape id="Text Box 3" o:spid="_x0000_s1025" type="#_x0000_t202" style="height:26.6pt;margin-left:6pt;margin-top:4pt;mso-height-percent:0;mso-height-relative:margin;mso-width-percent:0;mso-width-relative:margin;mso-wrap-distance-bottom:0;mso-wrap-distance-left:9pt;mso-wrap-distance-right:9pt;mso-wrap-distance-top:0;mso-wrap-style:square;position:absolute;v-text-anchor:top;visibility:visible;width:443.25pt;z-index:251658240">
            <v:textbox>
              <w:txbxContent>
                <w:p w:rsidR="00561B2E" w:rsidRPr="005B7E65" w:rsidP="00561B2E">
                  <w:pPr>
                    <w:jc w:val="center"/>
                    <w:rPr>
                      <w:rFonts w:ascii="Calibri" w:hAnsi="Calibri"/>
                      <w:b/>
                      <w:sz w:val="32"/>
                    </w:rPr>
                  </w:pPr>
                  <w:r>
                    <w:rPr>
                      <w:rFonts w:ascii="Calibri" w:hAnsi="Calibri"/>
                      <w:b/>
                      <w:noProof/>
                      <w:sz w:val="32"/>
                    </w:rPr>
                    <w:t>Hope and</w:t>
                  </w:r>
                  <w:r>
                    <w:rPr>
                      <w:rFonts w:ascii="Calibri" w:hAnsi="Calibri"/>
                      <w:b/>
                      <w:noProof/>
                      <w:sz w:val="32"/>
                    </w:rPr>
                    <w:t xml:space="preserve"> Resilience: Cultural Relevance in Palliative Care</w:t>
                  </w:r>
                </w:p>
              </w:txbxContent>
            </v:textbox>
            <w10:wrap type="tight"/>
          </v:shape>
        </w:pict>
      </w:r>
    </w:p>
    <w:p w:rsidR="00970493" w:rsidP="000F0369">
      <w:pPr>
        <w:spacing w:after="120"/>
        <w:rPr>
          <w:rFonts w:ascii="Calibri" w:hAnsi="Calibri"/>
          <w:b/>
          <w:i/>
        </w:rPr>
      </w:pPr>
      <w:r w:rsidRPr="003A3CD9">
        <w:rPr>
          <w:rFonts w:ascii="Calibri" w:hAnsi="Calibri"/>
          <w:b/>
          <w:i/>
        </w:rPr>
        <w:t>Topic:</w:t>
      </w:r>
      <w:r>
        <w:rPr>
          <w:rFonts w:ascii="Calibri" w:hAnsi="Calibri"/>
          <w:b/>
          <w:i/>
        </w:rPr>
        <w:t xml:space="preserve"> </w:t>
      </w:r>
      <w:r w:rsidR="00017D4C">
        <w:rPr>
          <w:noProof/>
        </w:rPr>
        <w:t>&lt;p&gt;</w:t>
      </w:r>
      <w:r w:rsidR="00017D4C">
        <w:rPr>
          <w:noProof/>
        </w:rPr>
        <w:t>As the landscape of palliative care continues to evolve, it is crucial to recognize and address the diverse cultural needs and preferences of patients and their families. This conference aims to foster a deeper understanding of the role cultural relevance plays in providing&amp;nbsp;compassionate care to individuals facing serious illness.&lt;br&gt;&lt;/p&gt;</w:t>
      </w:r>
    </w:p>
    <w:p w:rsidR="00561B2E" w:rsidRPr="003A3CD9" w:rsidP="00561B2E">
      <w:pPr>
        <w:rPr>
          <w:rFonts w:ascii="Calibri" w:hAnsi="Calibri"/>
          <w:b/>
        </w:rPr>
      </w:pPr>
      <w:r w:rsidRPr="003A3CD9">
        <w:rPr>
          <w:rFonts w:ascii="Calibri" w:hAnsi="Calibri"/>
          <w:b/>
          <w:i/>
        </w:rPr>
        <w:t xml:space="preserve">Purpose or Objectives: </w:t>
      </w:r>
      <w:r w:rsidRPr="003A3CD9">
        <w:rPr>
          <w:rFonts w:ascii="Calibri" w:hAnsi="Calibri"/>
          <w:b/>
        </w:rPr>
        <w:t xml:space="preserve"> At the conclusion of this activity, the participant will be able to:</w:t>
      </w:r>
    </w:p>
    <w:p w:rsidR="00970493" w:rsidRPr="000F0369" w:rsidP="00561B2E">
      <w:pPr>
        <w:spacing w:after="120"/>
        <w:rPr>
          <w:rFonts w:ascii="Calibri" w:hAnsi="Calibri"/>
          <w:noProof/>
        </w:rPr>
      </w:pPr>
      <w:r w:rsidR="00561B2E">
        <w:rPr>
          <w:rFonts w:ascii="Calibri" w:hAnsi="Calibri"/>
          <w:noProof/>
        </w:rPr>
        <w:t>1 Facilitate</w:t>
      </w:r>
      <w:r>
        <w:rPr>
          <w:rFonts w:ascii="Calibri" w:hAnsi="Calibri"/>
          <w:noProof/>
        </w:rPr>
        <w:t xml:space="preserve"> discussion and develop an action plan to mitigate cultural bias and promote inclusion.</w:t>
      </w:r>
    </w:p>
    <w:p w:rsidP="00561B2E">
      <w:pPr>
        <w:spacing w:after="120"/>
        <w:rPr>
          <w:rFonts w:ascii="Calibri" w:hAnsi="Calibri"/>
          <w:noProof/>
        </w:rPr>
      </w:pPr>
      <w:r>
        <w:rPr>
          <w:rFonts w:ascii="Calibri" w:hAnsi="Calibri"/>
          <w:noProof/>
        </w:rPr>
        <w:t>2 Understand the concept of implicit bias and its impact on palliative care.</w:t>
      </w:r>
    </w:p>
    <w:p w:rsidR="00970493" w:rsidRPr="000F0369" w:rsidP="00561B2E">
      <w:pPr>
        <w:spacing w:after="120"/>
        <w:rPr>
          <w:rFonts w:ascii="Calibri" w:hAnsi="Calibri"/>
          <w:noProof/>
        </w:rPr>
      </w:pPr>
      <w:r>
        <w:rPr>
          <w:rFonts w:ascii="Calibri" w:hAnsi="Calibri"/>
          <w:noProof/>
        </w:rPr>
        <w:t>2 Recognize personal bias and gain insight on how these biases may influence perceptions and behaviors.</w:t>
      </w:r>
    </w:p>
    <w:p w:rsidR="001A0A29" w:rsidP="00561B2E">
      <w:pPr>
        <w:spacing w:after="120"/>
        <w:rPr>
          <w:rFonts w:ascii="Calibri" w:hAnsi="Calibri"/>
          <w:i/>
        </w:rPr>
      </w:pPr>
      <w:r w:rsidRPr="003A3CD9">
        <w:rPr>
          <w:rFonts w:ascii="Calibri" w:hAnsi="Calibri"/>
          <w:b/>
          <w:i/>
        </w:rPr>
        <w:t xml:space="preserve">Date/Time: </w:t>
      </w:r>
      <w:r w:rsidR="00017D4C">
        <w:rPr>
          <w:noProof/>
        </w:rPr>
        <w:t>9/18</w:t>
      </w:r>
      <w:r w:rsidR="00017D4C">
        <w:rPr>
          <w:noProof/>
        </w:rPr>
        <w:t>/2023 9:00:00 AM</w:t>
      </w:r>
      <w:r w:rsidRPr="007B5356">
        <w:rPr>
          <w:rFonts w:ascii="Calibri" w:hAnsi="Calibri"/>
          <w:i/>
        </w:rPr>
        <w:t xml:space="preserve"> </w:t>
      </w:r>
      <w:r>
        <w:rPr>
          <w:rFonts w:ascii="Calibri" w:hAnsi="Calibri"/>
          <w:i/>
        </w:rPr>
        <w:fldChar w:fldCharType="begin"/>
      </w:r>
      <w:r>
        <w:rPr>
          <w:rFonts w:ascii="Calibri" w:hAnsi="Calibri"/>
          <w:i/>
        </w:rPr>
        <w:instrText xml:space="preserve"> IF </w:instrText>
      </w:r>
      <w:r>
        <w:rPr>
          <w:rFonts w:ascii="Calibri" w:hAnsi="Calibri"/>
          <w:i/>
          <w:noProof/>
        </w:rPr>
        <w:instrText>"</w:instrText>
      </w:r>
      <w:r>
        <w:rPr>
          <w:rFonts w:ascii="Calibri" w:hAnsi="Calibri"/>
          <w:i/>
          <w:noProof/>
        </w:rPr>
        <w:instrText>100 George</w:instrText>
      </w:r>
      <w:r>
        <w:rPr>
          <w:rFonts w:ascii="Calibri" w:hAnsi="Calibri"/>
          <w:i/>
        </w:rPr>
        <w:instrText xml:space="preserve"> St, New Brunswick, NJ 08901</w:instrText>
      </w:r>
      <w:r>
        <w:rPr>
          <w:rFonts w:ascii="Calibri" w:hAnsi="Calibri"/>
          <w:i/>
        </w:rPr>
        <w:instrText>"</w:instrText>
      </w:r>
      <w:r>
        <w:rPr>
          <w:rFonts w:ascii="Calibri" w:hAnsi="Calibri"/>
          <w:i/>
        </w:rPr>
        <w:instrText xml:space="preserve"> = "" "" "</w:instrText>
      </w:r>
    </w:p>
    <w:p w:rsidR="001A0A29" w:rsidRPr="0022340C" w:rsidP="001A0A29">
      <w:pPr>
        <w:spacing w:after="120"/>
        <w:rPr>
          <w:rFonts w:ascii="Calibri" w:hAnsi="Calibri"/>
          <w:i/>
          <w:noProof/>
        </w:rPr>
      </w:pPr>
      <w:r w:rsidRPr="003A3CD9">
        <w:rPr>
          <w:rFonts w:ascii="Calibri" w:hAnsi="Calibri"/>
          <w:b/>
          <w:i/>
        </w:rPr>
        <w:instrText>Location</w:instrText>
      </w:r>
      <w:r>
        <w:rPr>
          <w:rFonts w:ascii="Calibri" w:hAnsi="Calibri"/>
          <w:b/>
          <w:i/>
        </w:rPr>
        <w:instrText xml:space="preserve"> </w:instrText>
      </w:r>
      <w:r w:rsidRPr="001A0A29">
        <w:rPr>
          <w:rFonts w:ascii="Calibri" w:hAnsi="Calibri"/>
          <w:i/>
          <w:noProof/>
        </w:rPr>
        <w:instrText>100 George</w:instrText>
      </w:r>
      <w:r w:rsidRPr="001A0A29">
        <w:rPr>
          <w:rFonts w:ascii="Calibri" w:hAnsi="Calibri"/>
          <w:i/>
          <w:noProof/>
        </w:rPr>
        <w:instrText xml:space="preserve"> St, New Brunswick, NJ 08901</w:instrText>
      </w:r>
    </w:p>
    <w:p w:rsidR="00970493" w:rsidP="00561B2E">
      <w:pPr>
        <w:spacing w:after="120"/>
        <w:rPr>
          <w:rFonts w:ascii="Calibri" w:hAnsi="Calibri"/>
          <w:b/>
          <w:i/>
        </w:rPr>
      </w:pPr>
      <w:r>
        <w:rPr>
          <w:rFonts w:ascii="Calibri" w:hAnsi="Calibri"/>
          <w:i/>
        </w:rPr>
        <w:instrText xml:space="preserve">" \* MERGEFORMAT </w:instrText>
      </w:r>
      <w:r>
        <w:rPr>
          <w:rFonts w:ascii="Calibri" w:hAnsi="Calibri"/>
          <w:i/>
        </w:rPr>
        <w:fldChar w:fldCharType="separate"/>
      </w:r>
    </w:p>
    <w:p w:rsidR="001A0A29" w:rsidRPr="0022340C" w:rsidP="001A0A29">
      <w:pPr>
        <w:spacing w:after="120"/>
        <w:rPr>
          <w:rFonts w:ascii="Calibri" w:hAnsi="Calibri"/>
          <w:i/>
          <w:noProof/>
        </w:rPr>
      </w:pPr>
      <w:r w:rsidRPr="003A3CD9">
        <w:rPr>
          <w:rFonts w:ascii="Calibri" w:hAnsi="Calibri"/>
          <w:b/>
          <w:i/>
        </w:rPr>
        <w:t>Location</w:t>
      </w:r>
      <w:r>
        <w:rPr>
          <w:rFonts w:ascii="Calibri" w:hAnsi="Calibri"/>
          <w:b/>
          <w:i/>
        </w:rPr>
        <w:t xml:space="preserve"> </w:t>
      </w:r>
      <w:r w:rsidRPr="001A0A29">
        <w:rPr>
          <w:rFonts w:ascii="Calibri" w:hAnsi="Calibri"/>
          <w:i/>
          <w:noProof/>
        </w:rPr>
        <w:t>100 George</w:t>
      </w:r>
      <w:r w:rsidRPr="001A0A29">
        <w:rPr>
          <w:rFonts w:ascii="Calibri" w:hAnsi="Calibri"/>
          <w:i/>
          <w:noProof/>
        </w:rPr>
        <w:t xml:space="preserve"> St, New Brunswick, NJ 08901</w:t>
      </w:r>
    </w:p>
    <w:p w:rsidR="00970493" w:rsidP="00561B2E">
      <w:pPr>
        <w:spacing w:after="120"/>
        <w:rPr>
          <w:rFonts w:ascii="Calibri" w:hAnsi="Calibri"/>
          <w:b/>
          <w:i/>
        </w:rPr>
      </w:pPr>
      <w:r>
        <w:rPr>
          <w:rFonts w:ascii="Calibri" w:hAnsi="Calibri"/>
          <w:i/>
        </w:rPr>
        <w:fldChar w:fldCharType="end"/>
      </w:r>
      <w:r w:rsidRPr="007B5356" w:rsidR="00561B2E">
        <w:rPr>
          <w:rFonts w:ascii="Calibri" w:hAnsi="Calibri"/>
          <w:i/>
        </w:rPr>
        <w:t xml:space="preserve"> </w:t>
      </w:r>
      <w:r w:rsidRPr="003A3CD9" w:rsidR="00561B2E">
        <w:rPr>
          <w:rFonts w:ascii="Calibri" w:hAnsi="Calibri"/>
          <w:b/>
          <w:i/>
        </w:rPr>
        <w:t xml:space="preserve">  </w:t>
      </w:r>
    </w:p>
    <w:p w:rsidR="009C1282" w:rsidP="000F0369">
      <w:pPr>
        <w:spacing w:after="120"/>
        <w:rPr>
          <w:rFonts w:ascii="Calibri" w:hAnsi="Calibri"/>
          <w:noProof/>
        </w:rPr>
      </w:pPr>
      <w:r w:rsidRPr="003A3CD9">
        <w:rPr>
          <w:rFonts w:ascii="Calibri" w:hAnsi="Calibri"/>
          <w:b/>
          <w:i/>
        </w:rPr>
        <w:t xml:space="preserve">Accreditation: </w:t>
      </w:r>
    </w:p>
    <w:p w:rsidR="009C1282" w:rsidP="000F0369">
      <w:pPr>
        <w:spacing w:after="120"/>
        <w:rPr>
          <w:rFonts w:ascii="Calibri" w:hAnsi="Calibri"/>
          <w:noProof/>
        </w:rPr>
      </w:pPr>
    </w:p>
    <w:p w:rsidR="009C1282" w:rsidP="000F0369">
      <w:pPr>
        <w:spacing w:after="120"/>
        <w:rPr>
          <w:rFonts w:ascii="Calibri" w:hAnsi="Calibri"/>
          <w:noProof/>
        </w:rPr>
      </w:pPr>
    </w:p>
    <w:p w:rsidR="009C1282" w:rsidP="000F0369">
      <w:pPr>
        <w:spacing w:after="120"/>
        <w:rPr>
          <w:rFonts w:ascii="Calibri" w:hAnsi="Calibri"/>
        </w:rPr>
      </w:pPr>
      <w:r>
        <w:rPr>
          <w:rFonts w:ascii="Calibri" w:hAnsi="Calibri"/>
        </w:rPr>
        <w:t xml:space="preserve">In support of improving patient care, Rutgers Biomedical and Health Sciences is jointly accredited by the Accreditation Council for Continuing Medical Education (ACCME), the Accreditation Council for Pharmacy Education (ACPE), and the American Nurses Credentialing Center (ANCC), to provide continuing education for the healthcare team.  </w:t>
      </w:r>
    </w:p>
    <w:p w:rsidR="009C1282" w:rsidP="000F0369">
      <w:pPr>
        <w:spacing w:after="120"/>
        <w:rPr>
          <w:rFonts w:ascii="Calibri" w:hAnsi="Calibri"/>
        </w:rPr>
      </w:pPr>
    </w:p>
    <w:p w:rsidR="009C1282" w:rsidP="000F0369">
      <w:pPr>
        <w:spacing w:after="120"/>
        <w:rPr>
          <w:rFonts w:ascii="Calibri" w:hAnsi="Calibri"/>
        </w:rPr>
      </w:pPr>
    </w:p>
    <w:p w:rsidR="009C1282" w:rsidP="000F0369">
      <w:pPr>
        <w:spacing w:after="120"/>
        <w:rPr>
          <w:rFonts w:ascii="Calibri" w:hAnsi="Calibri"/>
        </w:rPr>
      </w:pPr>
      <w:r>
        <w:rPr>
          <w:rFonts w:ascii="Calibri" w:hAnsi="Calibri"/>
        </w:rPr>
        <w:t>PHYSICIANS: Rutgers Biomedical and Health Sciences designates this live activity for a maximum of 5 AMA PRA Category 1 Credits™. Physicians should claim only the credit commensurate with the extent of their participation in the activity. </w:t>
      </w:r>
    </w:p>
    <w:p w:rsidR="009C1282" w:rsidP="000F0369">
      <w:pPr>
        <w:spacing w:after="120"/>
        <w:rPr>
          <w:rFonts w:ascii="Calibri" w:hAnsi="Calibri"/>
        </w:rPr>
      </w:pPr>
    </w:p>
    <w:p w:rsidR="009C1282" w:rsidP="000F0369">
      <w:pPr>
        <w:spacing w:after="120"/>
        <w:rPr>
          <w:rFonts w:ascii="Calibri" w:hAnsi="Calibri"/>
        </w:rPr>
      </w:pPr>
      <w:r>
        <w:rPr>
          <w:rFonts w:ascii="Calibri" w:hAnsi="Calibri"/>
        </w:rPr>
        <w:t>NURSES: This activity is awarded 5 contact hours. Nurses should only claim those contact hours actually spent participating in the activity. </w:t>
      </w:r>
    </w:p>
    <w:p w:rsidR="009C1282" w:rsidP="000F0369">
      <w:pPr>
        <w:spacing w:after="120"/>
        <w:rPr>
          <w:rFonts w:ascii="Calibri" w:hAnsi="Calibri"/>
        </w:rPr>
      </w:pPr>
    </w:p>
    <w:p w:rsidR="009C1282" w:rsidP="000F0369">
      <w:pPr>
        <w:spacing w:after="120"/>
        <w:rPr>
          <w:rFonts w:ascii="Calibri" w:hAnsi="Calibri"/>
        </w:rPr>
      </w:pPr>
      <w:r>
        <w:rPr>
          <w:rFonts w:ascii="Calibri" w:hAnsi="Calibri"/>
        </w:rPr>
        <w:t xml:space="preserve">SOCIAL WORKERS: Pending for 5 CE hours for NJ &amp; NY social workers. </w:t>
      </w:r>
    </w:p>
    <w:p w:rsidR="009C1282" w:rsidP="000F0369">
      <w:pPr>
        <w:spacing w:after="120"/>
        <w:rPr>
          <w:rFonts w:ascii="Calibri" w:hAnsi="Calibri"/>
        </w:rPr>
      </w:pPr>
    </w:p>
    <w:p w:rsidR="009C1282" w:rsidP="000F0369">
      <w:pPr>
        <w:spacing w:after="120"/>
        <w:rPr>
          <w:rFonts w:ascii="Calibri" w:hAnsi="Calibri"/>
        </w:rPr>
      </w:pPr>
    </w:p>
    <w:p w:rsidR="009C1282" w:rsidP="000F0369">
      <w:pPr>
        <w:spacing w:after="120"/>
        <w:rPr>
          <w:rFonts w:ascii="Calibri" w:hAnsi="Calibri"/>
        </w:rPr>
      </w:pPr>
      <w:r>
        <w:rPr>
          <w:rFonts w:ascii="Calibri" w:hAnsi="Calibri"/>
        </w:rPr>
        <w:t>Method of Participation</w:t>
      </w:r>
    </w:p>
    <w:p w:rsidR="009C1282" w:rsidP="000F0369">
      <w:pPr>
        <w:spacing w:after="120"/>
        <w:rPr>
          <w:rFonts w:ascii="Calibri" w:hAnsi="Calibri"/>
        </w:rPr>
      </w:pPr>
    </w:p>
    <w:p w:rsidR="009C1282" w:rsidP="000F0369">
      <w:pPr>
        <w:spacing w:after="120"/>
        <w:rPr>
          <w:rFonts w:ascii="Calibri" w:hAnsi="Calibri"/>
        </w:rPr>
      </w:pPr>
    </w:p>
    <w:p w:rsidR="009C1282" w:rsidP="000F0369">
      <w:pPr>
        <w:spacing w:after="120"/>
        <w:rPr>
          <w:rFonts w:ascii="Calibri" w:hAnsi="Calibri"/>
        </w:rPr>
      </w:pPr>
      <w:r>
        <w:rPr>
          <w:rFonts w:ascii="Calibri" w:hAnsi="Calibri"/>
        </w:rPr>
        <w:t xml:space="preserve">In order to meet the learning objectives and receive continuing education credit, participants are required to attend for the duration of the webinar and complete the online evaluation form at the conclusion of the activity. A letter certifying attendance and credit certification will be available, upon completion of the evaluation, via your CloudCME portal. </w:t>
      </w:r>
    </w:p>
    <w:p w:rsidR="009C1282" w:rsidP="000F0369">
      <w:pPr>
        <w:spacing w:after="120"/>
        <w:rPr>
          <w:rFonts w:ascii="Calibri" w:hAnsi="Calibri"/>
        </w:rPr>
      </w:pPr>
    </w:p>
    <w:p w:rsidR="009C1282" w:rsidP="000F0369">
      <w:pPr>
        <w:spacing w:after="120"/>
        <w:rPr>
          <w:rFonts w:ascii="Calibri" w:hAnsi="Calibri"/>
        </w:rPr>
      </w:pPr>
    </w:p>
    <w:p w:rsidR="00970493" w:rsidRPr="000F0369" w:rsidP="000F0369">
      <w:pPr>
        <w:spacing w:after="120"/>
        <w:rPr>
          <w:rFonts w:ascii="Calibri" w:hAnsi="Calibri"/>
        </w:rPr>
      </w:pPr>
      <w:r w:rsidR="009C1282">
        <w:rPr>
          <w:rFonts w:ascii="Calibri" w:hAnsi="Calibri"/>
        </w:rPr>
        <w:t>Planners and speakers have no conflicts of interest to disclose regarding this educational activity. There is no commercial support for this activity.</w:t>
      </w:r>
    </w:p>
    <w:p w:rsidR="00561B2E" w:rsidRPr="003A3364" w:rsidP="00561B2E">
      <w:pPr>
        <w:rPr>
          <w:rFonts w:ascii="Calibri" w:hAnsi="Calibri"/>
          <w:b/>
          <w:i/>
        </w:rPr>
      </w:pPr>
      <w:r w:rsidRPr="003A3CD9">
        <w:rPr>
          <w:rFonts w:ascii="Calibri" w:hAnsi="Calibri"/>
          <w:b/>
          <w:i/>
        </w:rPr>
        <w:t>Disclosure of Financial Relationships:</w:t>
      </w:r>
    </w:p>
    <w:p w:rsidR="00561B2E" w:rsidRPr="003A3CD9" w:rsidP="00561B2E">
      <w:pPr>
        <w:rPr>
          <w:rFonts w:ascii="Calibri" w:hAnsi="Calibri"/>
          <w:i/>
        </w:rPr>
      </w:pPr>
      <w:r>
        <w:rPr>
          <w:rFonts w:ascii="Calibri" w:hAnsi="Calibri"/>
          <w:i/>
        </w:rPr>
        <w:t xml:space="preserve">The planners, </w:t>
      </w:r>
      <w:r w:rsidRPr="003A3CD9">
        <w:rPr>
          <w:rFonts w:ascii="Calibri" w:hAnsi="Calibri"/>
          <w:i/>
        </w:rPr>
        <w:t>moderators</w:t>
      </w:r>
      <w:r>
        <w:rPr>
          <w:rFonts w:ascii="Calibri" w:hAnsi="Calibri"/>
          <w:i/>
        </w:rPr>
        <w:t xml:space="preserve"> or speakers</w:t>
      </w:r>
      <w:r w:rsidRPr="003A3CD9">
        <w:rPr>
          <w:rFonts w:ascii="Calibri" w:hAnsi="Calibri"/>
          <w:i/>
        </w:rPr>
        <w:t xml:space="preserve"> of this RSS have the following financial relationship(s) with commercial interests to disclose:</w:t>
      </w:r>
    </w:p>
    <w:p w:rsidR="00561B2E" w:rsidRPr="00422F56" w:rsidP="00561B2E">
      <w:pPr>
        <w:rPr>
          <w:rFonts w:ascii="Calibri" w:hAnsi="Calibri"/>
          <w:i/>
        </w:rPr>
      </w:pPr>
      <w:bookmarkStart w:id="0" w:name="_GoBack"/>
      <w:bookmarkEnd w:id="0"/>
      <w:r>
        <w:rPr>
          <w:noProof/>
        </w:rPr>
        <w:t>Aziz  Ansari</w:t>
      </w:r>
      <w:r>
        <w:t>, DO</w:t>
      </w:r>
    </w:p>
    <w:p w:rsidR="00561B2E" w:rsidRPr="00422F56" w:rsidP="00561B2E">
      <w:pPr>
        <w:rPr>
          <w:rFonts w:ascii="Calibri" w:hAnsi="Calibri"/>
          <w:i/>
        </w:rPr>
      </w:pPr>
      <w:r w:rsidRPr="003A3CD9">
        <w:rPr>
          <w:rFonts w:ascii="Calibri" w:hAnsi="Calibri"/>
          <w:i/>
        </w:rPr>
        <w:tab/>
      </w:r>
    </w:p>
    <w:p w:rsidR="00561B2E" w:rsidRPr="003A3CD9" w:rsidP="00561B2E">
      <w:pPr>
        <w:rPr>
          <w:rFonts w:ascii="Calibri" w:hAnsi="Calibri"/>
        </w:rPr>
      </w:pPr>
    </w:p>
    <w:sectPr w:rsidSect="00017D4C">
      <w:headerReference w:type="default" r:id="rId6"/>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1B2E">
    <w:pPr>
      <w:pStyle w:val="Header"/>
    </w:pPr>
  </w:p>
  <w:p w:rsidR="00561B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oNotTrackMov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E712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B7E65"/>
    <w:rPr>
      <w:rFonts w:ascii="Tahoma" w:hAnsi="Tahoma"/>
      <w:sz w:val="16"/>
      <w:szCs w:val="16"/>
    </w:rPr>
  </w:style>
  <w:style w:type="character" w:customStyle="1" w:styleId="BalloonTextChar">
    <w:name w:val="Balloon Text Char"/>
    <w:link w:val="BalloonText"/>
    <w:rsid w:val="005B7E65"/>
    <w:rPr>
      <w:rFonts w:ascii="Tahoma" w:hAnsi="Tahoma" w:cs="Tahoma"/>
      <w:sz w:val="16"/>
      <w:szCs w:val="16"/>
    </w:rPr>
  </w:style>
  <w:style w:type="paragraph" w:styleId="Header">
    <w:name w:val="header"/>
    <w:basedOn w:val="Normal"/>
    <w:link w:val="HeaderChar"/>
    <w:uiPriority w:val="99"/>
    <w:rsid w:val="005B7E65"/>
    <w:pPr>
      <w:tabs>
        <w:tab w:val="center" w:pos="4680"/>
        <w:tab w:val="right" w:pos="9360"/>
      </w:tabs>
    </w:pPr>
  </w:style>
  <w:style w:type="character" w:customStyle="1" w:styleId="HeaderChar">
    <w:name w:val="Header Char"/>
    <w:link w:val="Header"/>
    <w:uiPriority w:val="99"/>
    <w:rsid w:val="005B7E65"/>
    <w:rPr>
      <w:sz w:val="24"/>
      <w:szCs w:val="24"/>
    </w:rPr>
  </w:style>
  <w:style w:type="paragraph" w:styleId="Footer">
    <w:name w:val="footer"/>
    <w:basedOn w:val="Normal"/>
    <w:link w:val="FooterChar"/>
    <w:rsid w:val="005B7E65"/>
    <w:pPr>
      <w:tabs>
        <w:tab w:val="center" w:pos="4680"/>
        <w:tab w:val="right" w:pos="9360"/>
      </w:tabs>
    </w:pPr>
  </w:style>
  <w:style w:type="character" w:customStyle="1" w:styleId="FooterChar">
    <w:name w:val="Footer Char"/>
    <w:link w:val="Footer"/>
    <w:rsid w:val="005B7E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385A10-19DF-E649-9FAF-3CD14732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MabryLeaA</dc:creator>
  <cp:lastModifiedBy>Karl Wilkens</cp:lastModifiedBy>
  <cp:revision>8</cp:revision>
  <dcterms:created xsi:type="dcterms:W3CDTF">2018-08-27T15:51:00Z</dcterms:created>
  <dcterms:modified xsi:type="dcterms:W3CDTF">2018-08-27T20:15:00Z</dcterms:modified>
</cp:coreProperties>
</file>